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CC6B4" w14:textId="77777777" w:rsidR="008326A7" w:rsidRDefault="008326A7" w:rsidP="008326A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326A7">
        <w:rPr>
          <w:rFonts w:ascii="Lato" w:eastAsia="Times New Roman" w:hAnsi="Lato" w:cs="Times New Roman"/>
          <w:color w:val="CC3300"/>
          <w:kern w:val="36"/>
          <w:sz w:val="36"/>
          <w:szCs w:val="36"/>
          <w:lang w:eastAsia="fr-BE"/>
          <w14:ligatures w14:val="none"/>
        </w:rPr>
        <w:t>La volatilité encourage l’utilisation de stratégies de couvertures</w:t>
      </w:r>
    </w:p>
    <w:p w14:paraId="73AD6177" w14:textId="77777777" w:rsidR="008326A7" w:rsidRDefault="008326A7" w:rsidP="008326A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4F90B07A" w14:textId="30EF9ED7" w:rsidR="008326A7" w:rsidRPr="008326A7" w:rsidRDefault="008326A7" w:rsidP="008326A7">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326A7">
        <w:rPr>
          <w:rFonts w:ascii="Lato" w:eastAsia="Times New Roman" w:hAnsi="Lato" w:cs="Times New Roman"/>
          <w:b/>
          <w:bCs/>
          <w:color w:val="000000"/>
          <w:kern w:val="0"/>
          <w:sz w:val="23"/>
          <w:szCs w:val="23"/>
          <w:lang w:eastAsia="fr-BE"/>
          <w14:ligatures w14:val="none"/>
        </w:rPr>
        <w:t>La volatilité observée ces dernières semaines sur les marchés de métaux utilisés dans la transition énergétique, tels que le lithium et le cobalt, a encouragé le déploiement de stratégies de couverture, dont l’augmentation du recours à des instruments financiers, ont fait savoir les participants à l’évènement MOVE 2024, qui s’est tenu à Londres du 19 au 20 juin dernier.</w:t>
      </w:r>
    </w:p>
    <w:p w14:paraId="7CCF1681"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t> </w:t>
      </w:r>
    </w:p>
    <w:p w14:paraId="2F9F4488"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t>Que ce soit aux Etats-Unis ou en Europe, l’attitude des acteurs du marché des batteries de véhicules électriques semble être la même : ils nouent des partenariats stratégiques, opèrent des intégrations verticales et recourent de manière croissante à des instruments financiers, tels que des contrats à terme, pour diminuer les coûts.</w:t>
      </w:r>
    </w:p>
    <w:p w14:paraId="0C14DE04"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t xml:space="preserve">Les gouvernements occidentaux veulent construire des chaînes d’approvisionnement résilientes et durables pour atteindre </w:t>
      </w:r>
      <w:proofErr w:type="gramStart"/>
      <w:r w:rsidRPr="008326A7">
        <w:rPr>
          <w:rFonts w:ascii="Lato" w:eastAsia="Times New Roman" w:hAnsi="Lato" w:cs="Times New Roman"/>
          <w:color w:val="000000"/>
          <w:kern w:val="0"/>
          <w:sz w:val="23"/>
          <w:szCs w:val="23"/>
          <w:lang w:eastAsia="fr-BE"/>
          <w14:ligatures w14:val="none"/>
        </w:rPr>
        <w:t>les objectifs carbone</w:t>
      </w:r>
      <w:proofErr w:type="gramEnd"/>
      <w:r w:rsidRPr="008326A7">
        <w:rPr>
          <w:rFonts w:ascii="Lato" w:eastAsia="Times New Roman" w:hAnsi="Lato" w:cs="Times New Roman"/>
          <w:color w:val="000000"/>
          <w:kern w:val="0"/>
          <w:sz w:val="23"/>
          <w:szCs w:val="23"/>
          <w:lang w:eastAsia="fr-BE"/>
          <w14:ligatures w14:val="none"/>
        </w:rPr>
        <w:t>, et les réformes structurelles ainsi que les initiatives législatives sont indispensables pour avancer dans ce sens. Mais des défis doivent être relevés, en particulier quand il s’agit de métaux, tels que le lithium et le cobalt, et de financements de projets locaux, ont souligné les participants.</w:t>
      </w:r>
    </w:p>
    <w:p w14:paraId="1795F34E"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t>« </w:t>
      </w:r>
      <w:r w:rsidRPr="008326A7">
        <w:rPr>
          <w:rFonts w:ascii="Lato" w:eastAsia="Times New Roman" w:hAnsi="Lato" w:cs="Times New Roman"/>
          <w:i/>
          <w:iCs/>
          <w:color w:val="000000"/>
          <w:kern w:val="0"/>
          <w:sz w:val="23"/>
          <w:szCs w:val="23"/>
          <w:lang w:eastAsia="fr-BE"/>
          <w14:ligatures w14:val="none"/>
        </w:rPr>
        <w:t xml:space="preserve">Chez </w:t>
      </w:r>
      <w:proofErr w:type="spellStart"/>
      <w:r w:rsidRPr="008326A7">
        <w:rPr>
          <w:rFonts w:ascii="Lato" w:eastAsia="Times New Roman" w:hAnsi="Lato" w:cs="Times New Roman"/>
          <w:i/>
          <w:iCs/>
          <w:color w:val="000000"/>
          <w:kern w:val="0"/>
          <w:sz w:val="23"/>
          <w:szCs w:val="23"/>
          <w:lang w:eastAsia="fr-BE"/>
          <w14:ligatures w14:val="none"/>
        </w:rPr>
        <w:t>Umicore</w:t>
      </w:r>
      <w:proofErr w:type="spellEnd"/>
      <w:r w:rsidRPr="008326A7">
        <w:rPr>
          <w:rFonts w:ascii="Lato" w:eastAsia="Times New Roman" w:hAnsi="Lato" w:cs="Times New Roman"/>
          <w:i/>
          <w:iCs/>
          <w:color w:val="000000"/>
          <w:kern w:val="0"/>
          <w:sz w:val="23"/>
          <w:szCs w:val="23"/>
          <w:lang w:eastAsia="fr-BE"/>
          <w14:ligatures w14:val="none"/>
        </w:rPr>
        <w:t>, la politique est très stricte afin de minimiser notre exposition à la volatilité des cours des métaux. Nous adoptons une approche multi-stratégique, qui combine des outils de couverture, nous assurent une plus grande stabilité financière et nous apportent davantage de visibilité </w:t>
      </w:r>
      <w:r w:rsidRPr="008326A7">
        <w:rPr>
          <w:rFonts w:ascii="Lato" w:eastAsia="Times New Roman" w:hAnsi="Lato" w:cs="Times New Roman"/>
          <w:color w:val="000000"/>
          <w:kern w:val="0"/>
          <w:sz w:val="23"/>
          <w:szCs w:val="23"/>
          <w:lang w:eastAsia="fr-BE"/>
          <w14:ligatures w14:val="none"/>
        </w:rPr>
        <w:t xml:space="preserve">», a indiqué Tom </w:t>
      </w:r>
      <w:proofErr w:type="spellStart"/>
      <w:r w:rsidRPr="008326A7">
        <w:rPr>
          <w:rFonts w:ascii="Lato" w:eastAsia="Times New Roman" w:hAnsi="Lato" w:cs="Times New Roman"/>
          <w:color w:val="000000"/>
          <w:kern w:val="0"/>
          <w:sz w:val="23"/>
          <w:szCs w:val="23"/>
          <w:lang w:eastAsia="fr-BE"/>
          <w14:ligatures w14:val="none"/>
        </w:rPr>
        <w:t>Meulemans</w:t>
      </w:r>
      <w:proofErr w:type="spellEnd"/>
      <w:r w:rsidRPr="008326A7">
        <w:rPr>
          <w:rFonts w:ascii="Lato" w:eastAsia="Times New Roman" w:hAnsi="Lato" w:cs="Times New Roman"/>
          <w:color w:val="000000"/>
          <w:kern w:val="0"/>
          <w:sz w:val="23"/>
          <w:szCs w:val="23"/>
          <w:lang w:eastAsia="fr-BE"/>
          <w14:ligatures w14:val="none"/>
        </w:rPr>
        <w:t>, en charge des affaires de la division Cobalt &amp; précurseurs de batteries chez </w:t>
      </w:r>
      <w:proofErr w:type="spellStart"/>
      <w:r w:rsidRPr="008326A7">
        <w:rPr>
          <w:rFonts w:ascii="Lato" w:eastAsia="Times New Roman" w:hAnsi="Lato" w:cs="Times New Roman"/>
          <w:b/>
          <w:bCs/>
          <w:color w:val="000000"/>
          <w:kern w:val="0"/>
          <w:sz w:val="23"/>
          <w:szCs w:val="23"/>
          <w:lang w:eastAsia="fr-BE"/>
          <w14:ligatures w14:val="none"/>
        </w:rPr>
        <w:t>Umicore</w:t>
      </w:r>
      <w:proofErr w:type="spellEnd"/>
      <w:r w:rsidRPr="008326A7">
        <w:rPr>
          <w:rFonts w:ascii="Lato" w:eastAsia="Times New Roman" w:hAnsi="Lato" w:cs="Times New Roman"/>
          <w:color w:val="000000"/>
          <w:kern w:val="0"/>
          <w:sz w:val="23"/>
          <w:szCs w:val="23"/>
          <w:lang w:eastAsia="fr-BE"/>
          <w14:ligatures w14:val="none"/>
        </w:rPr>
        <w:t>, en marge de l’événement. Le groupe belge fabrique, en outre, des matériaux actifs pour les batteries lithium-ion. D’autre part, les stratégies varient en fonction de la nature des métaux, bien qu’elles ne soient pas toutes mises en œuvre chez </w:t>
      </w:r>
      <w:proofErr w:type="spellStart"/>
      <w:r w:rsidRPr="008326A7">
        <w:rPr>
          <w:rFonts w:ascii="Lato" w:eastAsia="Times New Roman" w:hAnsi="Lato" w:cs="Times New Roman"/>
          <w:b/>
          <w:bCs/>
          <w:color w:val="000000"/>
          <w:kern w:val="0"/>
          <w:sz w:val="23"/>
          <w:szCs w:val="23"/>
          <w:lang w:eastAsia="fr-BE"/>
          <w14:ligatures w14:val="none"/>
        </w:rPr>
        <w:t>Umicore</w:t>
      </w:r>
      <w:proofErr w:type="spellEnd"/>
      <w:r w:rsidRPr="008326A7">
        <w:rPr>
          <w:rFonts w:ascii="Lato" w:eastAsia="Times New Roman" w:hAnsi="Lato" w:cs="Times New Roman"/>
          <w:color w:val="000000"/>
          <w:kern w:val="0"/>
          <w:sz w:val="23"/>
          <w:szCs w:val="23"/>
          <w:lang w:eastAsia="fr-BE"/>
          <w14:ligatures w14:val="none"/>
        </w:rPr>
        <w:t xml:space="preserve">, souligne Tom </w:t>
      </w:r>
      <w:proofErr w:type="spellStart"/>
      <w:r w:rsidRPr="008326A7">
        <w:rPr>
          <w:rFonts w:ascii="Lato" w:eastAsia="Times New Roman" w:hAnsi="Lato" w:cs="Times New Roman"/>
          <w:color w:val="000000"/>
          <w:kern w:val="0"/>
          <w:sz w:val="23"/>
          <w:szCs w:val="23"/>
          <w:lang w:eastAsia="fr-BE"/>
          <w14:ligatures w14:val="none"/>
        </w:rPr>
        <w:t>Meulemans</w:t>
      </w:r>
      <w:proofErr w:type="spellEnd"/>
      <w:r w:rsidRPr="008326A7">
        <w:rPr>
          <w:rFonts w:ascii="Lato" w:eastAsia="Times New Roman" w:hAnsi="Lato" w:cs="Times New Roman"/>
          <w:color w:val="000000"/>
          <w:kern w:val="0"/>
          <w:sz w:val="23"/>
          <w:szCs w:val="23"/>
          <w:lang w:eastAsia="fr-BE"/>
          <w14:ligatures w14:val="none"/>
        </w:rPr>
        <w:t>. S’agissant du nickel, qui est un métal de base, il est possible d’avoir recours aux marchés papier et aux contrats à terme. Cela permet de se prémunir contre des fluctuations importantes de cours. Mais pour les métaux tels que le cobalt et le lithium, qui sont des marchés moins matures, il faut user d’autres stratégies. « </w:t>
      </w:r>
      <w:r w:rsidRPr="008326A7">
        <w:rPr>
          <w:rFonts w:ascii="Lato" w:eastAsia="Times New Roman" w:hAnsi="Lato" w:cs="Times New Roman"/>
          <w:i/>
          <w:iCs/>
          <w:color w:val="000000"/>
          <w:kern w:val="0"/>
          <w:sz w:val="23"/>
          <w:szCs w:val="23"/>
          <w:lang w:eastAsia="fr-BE"/>
          <w14:ligatures w14:val="none"/>
        </w:rPr>
        <w:t>En gérant le niveau des stocks en fonction des conditions de marché et de la demande des clients, on peut limiter l’impact financier des fluctuations de cours. Cela revient à aligner les volumes de ventes physiques et les volumes d’achats sur les niveaux de stocks pendant une période donnée de cotation</w:t>
      </w:r>
      <w:r w:rsidRPr="008326A7">
        <w:rPr>
          <w:rFonts w:ascii="Lato" w:eastAsia="Times New Roman" w:hAnsi="Lato" w:cs="Times New Roman"/>
          <w:color w:val="000000"/>
          <w:kern w:val="0"/>
          <w:sz w:val="23"/>
          <w:szCs w:val="23"/>
          <w:lang w:eastAsia="fr-BE"/>
          <w14:ligatures w14:val="none"/>
        </w:rPr>
        <w:t xml:space="preserve">, suggère Tom </w:t>
      </w:r>
      <w:proofErr w:type="spellStart"/>
      <w:r w:rsidRPr="008326A7">
        <w:rPr>
          <w:rFonts w:ascii="Lato" w:eastAsia="Times New Roman" w:hAnsi="Lato" w:cs="Times New Roman"/>
          <w:color w:val="000000"/>
          <w:kern w:val="0"/>
          <w:sz w:val="23"/>
          <w:szCs w:val="23"/>
          <w:lang w:eastAsia="fr-BE"/>
          <w14:ligatures w14:val="none"/>
        </w:rPr>
        <w:t>Meulemans</w:t>
      </w:r>
      <w:proofErr w:type="spellEnd"/>
      <w:r w:rsidRPr="008326A7">
        <w:rPr>
          <w:rFonts w:ascii="Lato" w:eastAsia="Times New Roman" w:hAnsi="Lato" w:cs="Times New Roman"/>
          <w:color w:val="000000"/>
          <w:kern w:val="0"/>
          <w:sz w:val="23"/>
          <w:szCs w:val="23"/>
          <w:lang w:eastAsia="fr-BE"/>
          <w14:ligatures w14:val="none"/>
        </w:rPr>
        <w:t>. </w:t>
      </w:r>
      <w:r w:rsidRPr="008326A7">
        <w:rPr>
          <w:rFonts w:ascii="Lato" w:eastAsia="Times New Roman" w:hAnsi="Lato" w:cs="Times New Roman"/>
          <w:i/>
          <w:iCs/>
          <w:color w:val="000000"/>
          <w:kern w:val="0"/>
          <w:sz w:val="23"/>
          <w:szCs w:val="23"/>
          <w:lang w:eastAsia="fr-BE"/>
          <w14:ligatures w14:val="none"/>
        </w:rPr>
        <w:t>Une autre option consiste à nouer des contrats avec des clients qui intègrent des mécanismes de prix permettant d’encaisser les fluctuations de cours. Cela permet d’aligner les prix de vente en fonction des niveaux de stocks des matières premières, et ainsi de transférer une partie du risque aux consommateurs. »</w:t>
      </w:r>
      <w:r w:rsidRPr="008326A7">
        <w:rPr>
          <w:rFonts w:ascii="Lato" w:eastAsia="Times New Roman" w:hAnsi="Lato" w:cs="Times New Roman"/>
          <w:color w:val="000000"/>
          <w:kern w:val="0"/>
          <w:sz w:val="23"/>
          <w:szCs w:val="23"/>
          <w:lang w:eastAsia="fr-BE"/>
          <w14:ligatures w14:val="none"/>
        </w:rPr>
        <w:t> La création de contrats à terme sur le cobalt et le lithium a également contribué à accroître les liquidités, ce qui permet de les utiliser comme solution de couverture.</w:t>
      </w:r>
    </w:p>
    <w:p w14:paraId="6EA3C57C"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t> </w:t>
      </w:r>
    </w:p>
    <w:p w14:paraId="1BDC1132"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b/>
          <w:bCs/>
          <w:color w:val="000000"/>
          <w:kern w:val="0"/>
          <w:sz w:val="23"/>
          <w:szCs w:val="23"/>
          <w:lang w:eastAsia="fr-BE"/>
          <w14:ligatures w14:val="none"/>
        </w:rPr>
        <w:t>Partenariat stratégique et intégration verticale</w:t>
      </w:r>
    </w:p>
    <w:p w14:paraId="648C7B69"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t xml:space="preserve">Les participants à la conférence ont, d’autre part, souligné l’importance des partenariats stratégiques et de l’intégration verticale dans une industrie naissante. Sur ce point, Tom </w:t>
      </w:r>
      <w:proofErr w:type="spellStart"/>
      <w:r w:rsidRPr="008326A7">
        <w:rPr>
          <w:rFonts w:ascii="Lato" w:eastAsia="Times New Roman" w:hAnsi="Lato" w:cs="Times New Roman"/>
          <w:color w:val="000000"/>
          <w:kern w:val="0"/>
          <w:sz w:val="23"/>
          <w:szCs w:val="23"/>
          <w:lang w:eastAsia="fr-BE"/>
          <w14:ligatures w14:val="none"/>
        </w:rPr>
        <w:t>Meulemans</w:t>
      </w:r>
      <w:proofErr w:type="spellEnd"/>
      <w:r w:rsidRPr="008326A7">
        <w:rPr>
          <w:rFonts w:ascii="Lato" w:eastAsia="Times New Roman" w:hAnsi="Lato" w:cs="Times New Roman"/>
          <w:color w:val="000000"/>
          <w:kern w:val="0"/>
          <w:sz w:val="23"/>
          <w:szCs w:val="23"/>
          <w:lang w:eastAsia="fr-BE"/>
          <w14:ligatures w14:val="none"/>
        </w:rPr>
        <w:t xml:space="preserve"> estime que les partenariats sont essentiels à la sécurisation des chaînes d’approvisionnement, à l’innovation, à la gestion des coûts, à l’élargissement du marché, à la durabilité et à l’atténuation des risques.</w:t>
      </w:r>
    </w:p>
    <w:p w14:paraId="7C675996"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lastRenderedPageBreak/>
        <w:t>Greg Bogie, directeur commercial de la junior britannique </w:t>
      </w:r>
      <w:r w:rsidRPr="008326A7">
        <w:rPr>
          <w:rFonts w:ascii="Lato" w:eastAsia="Times New Roman" w:hAnsi="Lato" w:cs="Times New Roman"/>
          <w:b/>
          <w:bCs/>
          <w:color w:val="000000"/>
          <w:kern w:val="0"/>
          <w:sz w:val="23"/>
          <w:szCs w:val="23"/>
          <w:lang w:eastAsia="fr-BE"/>
          <w14:ligatures w14:val="none"/>
        </w:rPr>
        <w:t>Green Lithium</w:t>
      </w:r>
      <w:r w:rsidRPr="008326A7">
        <w:rPr>
          <w:rFonts w:ascii="Lato" w:eastAsia="Times New Roman" w:hAnsi="Lato" w:cs="Times New Roman"/>
          <w:color w:val="000000"/>
          <w:kern w:val="0"/>
          <w:sz w:val="23"/>
          <w:szCs w:val="23"/>
          <w:lang w:eastAsia="fr-BE"/>
          <w14:ligatures w14:val="none"/>
        </w:rPr>
        <w:t>, a lui aussi pointé la difficulté de financement des projets dans les conditions de prix actuels du lithium, tout comme le rôle central des gouvernements dans la sécurisation des chaînes d’approvisionnement. L’intégration verticale permettrait, d’autre part, d’améliorer la compétitivité de la jeune entreprise. « </w:t>
      </w:r>
      <w:r w:rsidRPr="008326A7">
        <w:rPr>
          <w:rFonts w:ascii="Lato" w:eastAsia="Times New Roman" w:hAnsi="Lato" w:cs="Times New Roman"/>
          <w:i/>
          <w:iCs/>
          <w:color w:val="000000"/>
          <w:kern w:val="0"/>
          <w:sz w:val="23"/>
          <w:szCs w:val="23"/>
          <w:lang w:eastAsia="fr-BE"/>
          <w14:ligatures w14:val="none"/>
        </w:rPr>
        <w:t>Il s'agit d'un changement important, mais nécessaire. En intégrant dans la chaîne l'exploitation minière, le traitement, la production de batteries et les OEM (fabricants d'équipements d'origine), les économies occidentales disposeront d'une part plus importante du marché du lithium et les cours seront moins exposés au marché chinois »</w:t>
      </w:r>
      <w:r w:rsidRPr="008326A7">
        <w:rPr>
          <w:rFonts w:ascii="Lato" w:eastAsia="Times New Roman" w:hAnsi="Lato" w:cs="Times New Roman"/>
          <w:color w:val="000000"/>
          <w:kern w:val="0"/>
          <w:sz w:val="23"/>
          <w:szCs w:val="23"/>
          <w:lang w:eastAsia="fr-BE"/>
          <w14:ligatures w14:val="none"/>
        </w:rPr>
        <w:t>, a-t-il déclaré.</w:t>
      </w:r>
    </w:p>
    <w:p w14:paraId="23E4C5A8" w14:textId="77777777" w:rsidR="008326A7" w:rsidRPr="008326A7" w:rsidRDefault="008326A7" w:rsidP="008326A7">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26A7">
        <w:rPr>
          <w:rFonts w:ascii="Lato" w:eastAsia="Times New Roman" w:hAnsi="Lato" w:cs="Times New Roman"/>
          <w:color w:val="000000"/>
          <w:kern w:val="0"/>
          <w:sz w:val="23"/>
          <w:szCs w:val="23"/>
          <w:lang w:eastAsia="fr-BE"/>
          <w14:ligatures w14:val="none"/>
        </w:rPr>
        <w:t> </w:t>
      </w:r>
    </w:p>
    <w:p w14:paraId="2C319F1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A7"/>
    <w:rsid w:val="0007267A"/>
    <w:rsid w:val="00287462"/>
    <w:rsid w:val="00832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CC1C"/>
  <w15:chartTrackingRefBased/>
  <w15:docId w15:val="{D272E8F8-FDB3-48EE-89E2-B7579ECC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2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2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26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26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26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26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26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26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26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26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26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26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26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26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26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26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26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26A7"/>
    <w:rPr>
      <w:rFonts w:eastAsiaTheme="majorEastAsia" w:cstheme="majorBidi"/>
      <w:color w:val="272727" w:themeColor="text1" w:themeTint="D8"/>
    </w:rPr>
  </w:style>
  <w:style w:type="paragraph" w:styleId="Titre">
    <w:name w:val="Title"/>
    <w:basedOn w:val="Normal"/>
    <w:next w:val="Normal"/>
    <w:link w:val="TitreCar"/>
    <w:uiPriority w:val="10"/>
    <w:qFormat/>
    <w:rsid w:val="00832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26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26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26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26A7"/>
    <w:pPr>
      <w:spacing w:before="160"/>
      <w:jc w:val="center"/>
    </w:pPr>
    <w:rPr>
      <w:i/>
      <w:iCs/>
      <w:color w:val="404040" w:themeColor="text1" w:themeTint="BF"/>
    </w:rPr>
  </w:style>
  <w:style w:type="character" w:customStyle="1" w:styleId="CitationCar">
    <w:name w:val="Citation Car"/>
    <w:basedOn w:val="Policepardfaut"/>
    <w:link w:val="Citation"/>
    <w:uiPriority w:val="29"/>
    <w:rsid w:val="008326A7"/>
    <w:rPr>
      <w:i/>
      <w:iCs/>
      <w:color w:val="404040" w:themeColor="text1" w:themeTint="BF"/>
    </w:rPr>
  </w:style>
  <w:style w:type="paragraph" w:styleId="Paragraphedeliste">
    <w:name w:val="List Paragraph"/>
    <w:basedOn w:val="Normal"/>
    <w:uiPriority w:val="34"/>
    <w:qFormat/>
    <w:rsid w:val="008326A7"/>
    <w:pPr>
      <w:ind w:left="720"/>
      <w:contextualSpacing/>
    </w:pPr>
  </w:style>
  <w:style w:type="character" w:styleId="Accentuationintense">
    <w:name w:val="Intense Emphasis"/>
    <w:basedOn w:val="Policepardfaut"/>
    <w:uiPriority w:val="21"/>
    <w:qFormat/>
    <w:rsid w:val="008326A7"/>
    <w:rPr>
      <w:i/>
      <w:iCs/>
      <w:color w:val="0F4761" w:themeColor="accent1" w:themeShade="BF"/>
    </w:rPr>
  </w:style>
  <w:style w:type="paragraph" w:styleId="Citationintense">
    <w:name w:val="Intense Quote"/>
    <w:basedOn w:val="Normal"/>
    <w:next w:val="Normal"/>
    <w:link w:val="CitationintenseCar"/>
    <w:uiPriority w:val="30"/>
    <w:qFormat/>
    <w:rsid w:val="00832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26A7"/>
    <w:rPr>
      <w:i/>
      <w:iCs/>
      <w:color w:val="0F4761" w:themeColor="accent1" w:themeShade="BF"/>
    </w:rPr>
  </w:style>
  <w:style w:type="character" w:styleId="Rfrenceintense">
    <w:name w:val="Intense Reference"/>
    <w:basedOn w:val="Policepardfaut"/>
    <w:uiPriority w:val="32"/>
    <w:qFormat/>
    <w:rsid w:val="00832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09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3587</Characters>
  <Application>Microsoft Office Word</Application>
  <DocSecurity>0</DocSecurity>
  <Lines>29</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2024-07-15T05:40:00Z</dcterms:created>
  <dcterms:modified xsi:type="dcterms:W3CDTF">2024-07-15T05:40:00Z</dcterms:modified>
</cp:coreProperties>
</file>